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Données de Sécurité (FDS)</w:t>
      </w:r>
    </w:p>
    <w:p>
      <w:r>
        <w:t>Produit : APC - Nettoyant Multi-Usages Mister Auto Clean</w:t>
      </w:r>
    </w:p>
    <w:p>
      <w:r>
        <w:t>Forme : Liquide - spray ou concentré à diluer</w:t>
      </w:r>
    </w:p>
    <w:p>
      <w:r>
        <w:t>Utilisation : Nettoyage de surfaces intérieures et extérieures automobiles (plastiques, tissus, moteur, etc.).</w:t>
      </w:r>
    </w:p>
    <w:p>
      <w:r>
        <w:t>Date de création : 09/06/2025</w:t>
      </w:r>
    </w:p>
    <w:p>
      <w:pPr>
        <w:pStyle w:val="Heading1"/>
      </w:pPr>
      <w:r>
        <w:t>1. Identification de la substance/préparation et de la société</w:t>
      </w:r>
    </w:p>
    <w:p>
      <w:pPr>
        <w:pStyle w:val="ListBullet"/>
      </w:pPr>
      <w:r>
        <w:t>Nom du produit : APC - Nettoyant Multi-Usages Mister Auto Clean</w:t>
      </w:r>
    </w:p>
    <w:p>
      <w:pPr>
        <w:pStyle w:val="ListBullet"/>
      </w:pPr>
      <w:r>
        <w:t>Usage : Nettoyage automobile intérieur/extérieur</w:t>
      </w:r>
    </w:p>
    <w:p>
      <w:pPr>
        <w:pStyle w:val="ListBullet"/>
      </w:pPr>
      <w:r>
        <w:t>Fabricant : Mister Auto Clean</w:t>
      </w:r>
    </w:p>
    <w:p>
      <w:pPr>
        <w:pStyle w:val="ListBullet"/>
      </w:pPr>
      <w:r>
        <w:t>Adresse : Lieu-dit Montjean, 42810 Rozier-en-Donzy, France</w:t>
      </w:r>
    </w:p>
    <w:p>
      <w:pPr>
        <w:pStyle w:val="ListBullet"/>
      </w:pPr>
      <w:r>
        <w:t>Téléphone : [À compléter]</w:t>
      </w:r>
    </w:p>
    <w:p>
      <w:pPr>
        <w:pStyle w:val="Heading1"/>
      </w:pPr>
      <w:r>
        <w:t>2. Identification des dangers</w:t>
      </w:r>
    </w:p>
    <w:p>
      <w:pPr>
        <w:pStyle w:val="ListBullet"/>
      </w:pPr>
      <w:r>
        <w:t>Peut provoquer une irritation cutanée ou oculaire légère à modérée.</w:t>
      </w:r>
    </w:p>
    <w:p>
      <w:pPr>
        <w:pStyle w:val="ListBullet"/>
      </w:pPr>
      <w:r>
        <w:t>Port de gants recommandé. Tenir hors de portée des enfants.</w:t>
      </w:r>
    </w:p>
    <w:p>
      <w:pPr>
        <w:pStyle w:val="Heading1"/>
      </w:pPr>
      <w:r>
        <w:t>3. Composition/informations sur les composants</w:t>
      </w:r>
    </w:p>
    <w:p>
      <w:pPr>
        <w:pStyle w:val="ListBullet"/>
      </w:pPr>
      <w:r>
        <w:t>Mélange de tensioactifs non ioniques et anioniques (&lt;10%), solvants doux, agents alcalins doux.</w:t>
      </w:r>
    </w:p>
    <w:p>
      <w:pPr>
        <w:pStyle w:val="ListBullet"/>
      </w:pPr>
      <w:r>
        <w:t>Aucune substance classée dangereuse à des concentrations réglementées.</w:t>
      </w:r>
    </w:p>
    <w:p>
      <w:pPr>
        <w:pStyle w:val="Heading1"/>
      </w:pPr>
      <w:r>
        <w:t>4. Premiers secours</w:t>
      </w:r>
    </w:p>
    <w:p>
      <w:pPr>
        <w:pStyle w:val="ListBullet"/>
      </w:pPr>
      <w:r>
        <w:t>Inhalation : Aérer en cas d’inhalation de brouillard ou de vapeur.</w:t>
      </w:r>
    </w:p>
    <w:p>
      <w:pPr>
        <w:pStyle w:val="ListBullet"/>
      </w:pPr>
      <w:r>
        <w:t>Contact avec la peau : Rincer abondamment à l’eau.</w:t>
      </w:r>
    </w:p>
    <w:p>
      <w:pPr>
        <w:pStyle w:val="ListBullet"/>
      </w:pPr>
      <w:r>
        <w:t>Contact avec les yeux : Rincer immédiatement à l’eau claire.</w:t>
      </w:r>
    </w:p>
    <w:p>
      <w:pPr>
        <w:pStyle w:val="ListBullet"/>
      </w:pPr>
      <w:r>
        <w:t>Ingestion : Rincer la bouche, consulter un médecin en cas de malaise.</w:t>
      </w:r>
    </w:p>
    <w:p>
      <w:pPr>
        <w:pStyle w:val="Heading1"/>
      </w:pPr>
      <w:r>
        <w:t>5. Mesures de lutte contre l’incendie</w:t>
      </w:r>
    </w:p>
    <w:p>
      <w:pPr>
        <w:pStyle w:val="ListBullet"/>
      </w:pPr>
      <w:r>
        <w:t>Produit non inflammable.</w:t>
      </w:r>
    </w:p>
    <w:p>
      <w:pPr>
        <w:pStyle w:val="ListBullet"/>
      </w:pPr>
      <w:r>
        <w:t>Moyens d’extinction : mousse, CO2, eau pulvérisée.</w:t>
      </w:r>
    </w:p>
    <w:p>
      <w:pPr>
        <w:pStyle w:val="ListBullet"/>
      </w:pPr>
      <w:r>
        <w:t>Protection des intervenants : Équipement standard.</w:t>
      </w:r>
    </w:p>
    <w:p>
      <w:pPr>
        <w:pStyle w:val="Heading1"/>
      </w:pPr>
      <w:r>
        <w:t>6. Mesures à prendre en cas de dispersion accidentelle</w:t>
      </w:r>
    </w:p>
    <w:p>
      <w:pPr>
        <w:pStyle w:val="ListBullet"/>
      </w:pPr>
      <w:r>
        <w:t>Ventiler la zone. Contenir la fuite avec un matériau absorbant (chiffons, sable).</w:t>
      </w:r>
    </w:p>
    <w:p>
      <w:pPr>
        <w:pStyle w:val="ListBullet"/>
      </w:pPr>
      <w:r>
        <w:t>Ne pas rejeter dans les égouts ou les eaux naturelles.</w:t>
      </w:r>
    </w:p>
    <w:p>
      <w:pPr>
        <w:pStyle w:val="Heading1"/>
      </w:pPr>
      <w:r>
        <w:t>7. Manipulation et stockage</w:t>
      </w:r>
    </w:p>
    <w:p>
      <w:pPr>
        <w:pStyle w:val="ListBullet"/>
      </w:pPr>
      <w:r>
        <w:t>Utiliser avec des équipements de protection de base.</w:t>
      </w:r>
    </w:p>
    <w:p>
      <w:pPr>
        <w:pStyle w:val="ListBullet"/>
      </w:pPr>
      <w:r>
        <w:t>Stocker à température ambiante, à l’abri de l’humidité et de la chaleur.</w:t>
      </w:r>
    </w:p>
    <w:p>
      <w:pPr>
        <w:pStyle w:val="Heading1"/>
      </w:pPr>
      <w:r>
        <w:t>8. Contrôle de l’exposition/protection individuelle</w:t>
      </w:r>
    </w:p>
    <w:p>
      <w:pPr>
        <w:pStyle w:val="ListBullet"/>
      </w:pPr>
      <w:r>
        <w:t>Gants de protection recommandés.</w:t>
      </w:r>
    </w:p>
    <w:p>
      <w:pPr>
        <w:pStyle w:val="ListBullet"/>
      </w:pPr>
      <w:r>
        <w:t>Protection des yeux en cas de projection.</w:t>
      </w:r>
    </w:p>
    <w:p>
      <w:pPr>
        <w:pStyle w:val="ListBullet"/>
      </w:pPr>
      <w:r>
        <w:t>Bonne ventilation des locaux lors de l’utilisation en grande quantité.</w:t>
      </w:r>
    </w:p>
    <w:p>
      <w:pPr>
        <w:pStyle w:val="Heading1"/>
      </w:pPr>
      <w:r>
        <w:t>9. Propriétés physico-chimiques</w:t>
      </w:r>
    </w:p>
    <w:p>
      <w:pPr>
        <w:pStyle w:val="ListBullet"/>
      </w:pPr>
      <w:r>
        <w:t>Aspect : Liquide clair ou légèrement coloré</w:t>
      </w:r>
    </w:p>
    <w:p>
      <w:pPr>
        <w:pStyle w:val="ListBullet"/>
      </w:pPr>
      <w:r>
        <w:t>Odeur : Fraîche ou neutre</w:t>
      </w:r>
    </w:p>
    <w:p>
      <w:pPr>
        <w:pStyle w:val="ListBullet"/>
      </w:pPr>
      <w:r>
        <w:t>pH : 8-10</w:t>
      </w:r>
    </w:p>
    <w:p>
      <w:pPr>
        <w:pStyle w:val="ListBullet"/>
      </w:pPr>
      <w:r>
        <w:t>Solubilité : Entièrement soluble dans l’eau</w:t>
      </w:r>
    </w:p>
    <w:p>
      <w:pPr>
        <w:pStyle w:val="Heading1"/>
      </w:pPr>
      <w:r>
        <w:t>10. Stabilité et réactivité</w:t>
      </w:r>
    </w:p>
    <w:p>
      <w:pPr>
        <w:pStyle w:val="ListBullet"/>
      </w:pPr>
      <w:r>
        <w:t>Stable dans des conditions normales d’utilisation et de stockage.</w:t>
      </w:r>
    </w:p>
    <w:p>
      <w:pPr>
        <w:pStyle w:val="ListBullet"/>
      </w:pPr>
      <w:r>
        <w:t>Éviter les acides forts ou agents oxydants puissants.</w:t>
      </w:r>
    </w:p>
    <w:p>
      <w:pPr>
        <w:pStyle w:val="Heading1"/>
      </w:pPr>
      <w:r>
        <w:t>11. Informations toxicologiques</w:t>
      </w:r>
    </w:p>
    <w:p>
      <w:pPr>
        <w:pStyle w:val="ListBullet"/>
      </w:pPr>
      <w:r>
        <w:t>Irritation possible des yeux ou de la peau en cas de contact prolongé.</w:t>
      </w:r>
    </w:p>
    <w:p>
      <w:pPr>
        <w:pStyle w:val="ListBullet"/>
      </w:pPr>
      <w:r>
        <w:t>Non toxique dans des conditions normales d’utilisation.</w:t>
      </w:r>
    </w:p>
    <w:p>
      <w:pPr>
        <w:pStyle w:val="Heading1"/>
      </w:pPr>
      <w:r>
        <w:t>12. Informations écologiques</w:t>
      </w:r>
    </w:p>
    <w:p>
      <w:pPr>
        <w:pStyle w:val="ListBullet"/>
      </w:pPr>
      <w:r>
        <w:t>Produit majoritairement biodégradable.</w:t>
      </w:r>
    </w:p>
    <w:p>
      <w:pPr>
        <w:pStyle w:val="ListBullet"/>
      </w:pPr>
      <w:r>
        <w:t>Éviter le rejet direct dans la nature.</w:t>
      </w:r>
    </w:p>
    <w:p>
      <w:pPr>
        <w:pStyle w:val="Heading1"/>
      </w:pPr>
      <w:r>
        <w:t>13. Considérations relatives à l’élimination</w:t>
      </w:r>
    </w:p>
    <w:p>
      <w:pPr>
        <w:pStyle w:val="ListBullet"/>
      </w:pPr>
      <w:r>
        <w:t>Respecter les réglementations locales pour l’élimination des déchets.</w:t>
      </w:r>
    </w:p>
    <w:p>
      <w:pPr>
        <w:pStyle w:val="ListBullet"/>
      </w:pPr>
      <w:r>
        <w:t>Ne pas déverser dans les canalisations ni dans les eaux de surface.</w:t>
      </w:r>
    </w:p>
    <w:p>
      <w:pPr>
        <w:pStyle w:val="Heading1"/>
      </w:pPr>
      <w:r>
        <w:t>14. Informations relatives au transport</w:t>
      </w:r>
    </w:p>
    <w:p>
      <w:pPr>
        <w:pStyle w:val="ListBullet"/>
      </w:pPr>
      <w:r>
        <w:t>Produit non dangereux pour le transport (ADR/RID/IMDG/IATA).</w:t>
      </w:r>
    </w:p>
    <w:p>
      <w:pPr>
        <w:pStyle w:val="Heading1"/>
      </w:pPr>
      <w:r>
        <w:t>15. Informations réglementaires</w:t>
      </w:r>
    </w:p>
    <w:p>
      <w:pPr>
        <w:pStyle w:val="ListBullet"/>
      </w:pPr>
      <w:r>
        <w:t>Non classé comme dangereux selon le règlement CE n°1272/2008 (CLP).</w:t>
      </w:r>
    </w:p>
    <w:p>
      <w:pPr>
        <w:pStyle w:val="ListBullet"/>
      </w:pPr>
      <w:r>
        <w:t>Produit destiné à un usage professionnel ou grand public.</w:t>
      </w:r>
    </w:p>
    <w:p>
      <w:pPr>
        <w:pStyle w:val="Heading1"/>
      </w:pPr>
      <w:r>
        <w:t>16. Autres informations</w:t>
      </w:r>
    </w:p>
    <w:p>
      <w:pPr>
        <w:pStyle w:val="ListBullet"/>
      </w:pPr>
      <w:r>
        <w:t>Fiche indicative basée sur une formulation générique d’APC.</w:t>
      </w:r>
    </w:p>
    <w:p>
      <w:pPr>
        <w:pStyle w:val="ListBullet"/>
      </w:pPr>
      <w:r>
        <w:t>Doit être complétée dès validation d’analyse technique complète.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